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00" w:type="dxa"/>
        <w:jc w:val="center"/>
        <w:tblCellMar>
          <w:left w:w="0" w:type="dxa"/>
          <w:right w:w="0" w:type="dxa"/>
        </w:tblCellMar>
        <w:tblLook w:val="04A0" w:firstRow="1" w:lastRow="0" w:firstColumn="1" w:lastColumn="0" w:noHBand="0" w:noVBand="1"/>
      </w:tblPr>
      <w:tblGrid>
        <w:gridCol w:w="8250"/>
        <w:gridCol w:w="50"/>
      </w:tblGrid>
      <w:tr w:rsidR="006B49D7" w:rsidTr="006B49D7">
        <w:trPr>
          <w:jc w:val="center"/>
        </w:trPr>
        <w:tc>
          <w:tcPr>
            <w:tcW w:w="0" w:type="auto"/>
            <w:hideMark/>
          </w:tcPr>
          <w:p w:rsidR="006B49D7" w:rsidRDefault="006B49D7">
            <w:pPr>
              <w:jc w:val="center"/>
              <w:rPr>
                <w:rFonts w:eastAsia="Times New Roman"/>
              </w:rPr>
            </w:pPr>
            <w:r>
              <w:rPr>
                <w:rFonts w:eastAsia="Times New Roman"/>
                <w:noProof/>
              </w:rPr>
              <w:drawing>
                <wp:inline distT="0" distB="0" distL="0" distR="0">
                  <wp:extent cx="5238750" cy="7620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762000"/>
                          </a:xfrm>
                          <a:prstGeom prst="rect">
                            <a:avLst/>
                          </a:prstGeom>
                          <a:noFill/>
                          <a:ln>
                            <a:noFill/>
                          </a:ln>
                        </pic:spPr>
                      </pic:pic>
                    </a:graphicData>
                  </a:graphic>
                </wp:inline>
              </w:drawing>
            </w:r>
          </w:p>
        </w:tc>
        <w:tc>
          <w:tcPr>
            <w:tcW w:w="50" w:type="dxa"/>
            <w:vAlign w:val="center"/>
            <w:hideMark/>
          </w:tcPr>
          <w:p w:rsidR="006B49D7" w:rsidRDefault="006B49D7">
            <w:pPr>
              <w:rPr>
                <w:rFonts w:eastAsia="Times New Roman"/>
              </w:rPr>
            </w:pPr>
            <w:r>
              <w:rPr>
                <w:rFonts w:eastAsia="Times New Roman"/>
              </w:rPr>
              <w:t> </w:t>
            </w:r>
          </w:p>
        </w:tc>
      </w:tr>
      <w:tr w:rsidR="006B49D7" w:rsidTr="006B49D7">
        <w:trPr>
          <w:trHeight w:val="300"/>
          <w:jc w:val="center"/>
        </w:trPr>
        <w:tc>
          <w:tcPr>
            <w:tcW w:w="0" w:type="auto"/>
            <w:vAlign w:val="center"/>
            <w:hideMark/>
          </w:tcPr>
          <w:p w:rsidR="006B49D7" w:rsidRDefault="006B49D7">
            <w:pPr>
              <w:rPr>
                <w:rFonts w:eastAsia="Times New Roman"/>
              </w:rPr>
            </w:pPr>
            <w:r>
              <w:rPr>
                <w:rFonts w:eastAsia="Times New Roman"/>
              </w:rPr>
              <w:t> </w:t>
            </w:r>
          </w:p>
        </w:tc>
        <w:tc>
          <w:tcPr>
            <w:tcW w:w="50" w:type="dxa"/>
            <w:vAlign w:val="center"/>
            <w:hideMark/>
          </w:tcPr>
          <w:p w:rsidR="006B49D7" w:rsidRDefault="006B49D7">
            <w:pPr>
              <w:rPr>
                <w:rFonts w:eastAsia="Times New Roman"/>
              </w:rPr>
            </w:pPr>
            <w:r>
              <w:rPr>
                <w:rFonts w:eastAsia="Times New Roman"/>
              </w:rPr>
              <w:t> </w:t>
            </w:r>
          </w:p>
        </w:tc>
      </w:tr>
      <w:tr w:rsidR="006B49D7" w:rsidTr="006B49D7">
        <w:trPr>
          <w:jc w:val="center"/>
        </w:trPr>
        <w:tc>
          <w:tcPr>
            <w:tcW w:w="0" w:type="auto"/>
            <w:vAlign w:val="center"/>
            <w:hideMark/>
          </w:tcPr>
          <w:p w:rsidR="006B49D7" w:rsidRDefault="006B49D7">
            <w:pPr>
              <w:spacing w:line="15" w:lineRule="atLeast"/>
              <w:jc w:val="center"/>
              <w:rPr>
                <w:rFonts w:eastAsia="Times New Roman"/>
                <w:sz w:val="2"/>
                <w:szCs w:val="2"/>
              </w:rPr>
            </w:pPr>
            <w:r>
              <w:rPr>
                <w:rFonts w:eastAsia="Times New Roman"/>
                <w:noProof/>
                <w:sz w:val="2"/>
                <w:szCs w:val="2"/>
              </w:rPr>
              <w:drawing>
                <wp:inline distT="0" distB="0" distL="0" distR="0">
                  <wp:extent cx="1143000" cy="3048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c>
          <w:tcPr>
            <w:tcW w:w="50" w:type="dxa"/>
            <w:vAlign w:val="center"/>
            <w:hideMark/>
          </w:tcPr>
          <w:p w:rsidR="006B49D7" w:rsidRDefault="006B49D7">
            <w:pPr>
              <w:rPr>
                <w:rFonts w:eastAsia="Times New Roman"/>
              </w:rPr>
            </w:pPr>
            <w:r>
              <w:rPr>
                <w:rFonts w:eastAsia="Times New Roman"/>
              </w:rPr>
              <w:t> </w:t>
            </w:r>
          </w:p>
        </w:tc>
      </w:tr>
    </w:tbl>
    <w:p w:rsidR="006B49D7" w:rsidRDefault="006B49D7" w:rsidP="006B49D7">
      <w:pPr>
        <w:spacing w:line="270" w:lineRule="atLeast"/>
        <w:rPr>
          <w:rFonts w:ascii="Helvetica" w:eastAsia="Times New Roman" w:hAnsi="Helvetica" w:cs="Helvetica"/>
          <w:color w:val="002319"/>
          <w:sz w:val="21"/>
          <w:szCs w:val="21"/>
        </w:rPr>
      </w:pPr>
      <w:bookmarkStart w:id="0" w:name="_GoBack"/>
      <w:bookmarkEnd w:id="0"/>
      <w:r>
        <w:rPr>
          <w:rFonts w:ascii="Helvetica" w:eastAsia="Times New Roman" w:hAnsi="Helvetica" w:cs="Helvetica"/>
          <w:color w:val="002319"/>
          <w:sz w:val="21"/>
          <w:szCs w:val="21"/>
        </w:rPr>
        <w:br/>
        <w:t>Du modtager denne mail, så du er opdateret på den seneste udvikling med Discovery. </w:t>
      </w:r>
      <w:r>
        <w:rPr>
          <w:rFonts w:ascii="Helvetica" w:eastAsia="Times New Roman" w:hAnsi="Helvetica" w:cs="Helvetica"/>
          <w:color w:val="002319"/>
          <w:sz w:val="21"/>
          <w:szCs w:val="21"/>
        </w:rPr>
        <w:br/>
        <w:t> </w:t>
      </w:r>
    </w:p>
    <w:tbl>
      <w:tblPr>
        <w:tblW w:w="5000" w:type="pct"/>
        <w:shd w:val="clear" w:color="auto" w:fill="F4F4F4"/>
        <w:tblCellMar>
          <w:left w:w="0" w:type="dxa"/>
          <w:right w:w="0" w:type="dxa"/>
        </w:tblCellMar>
        <w:tblLook w:val="04A0" w:firstRow="1" w:lastRow="0" w:firstColumn="1" w:lastColumn="0" w:noHBand="0" w:noVBand="1"/>
      </w:tblPr>
      <w:tblGrid>
        <w:gridCol w:w="675"/>
        <w:gridCol w:w="8963"/>
      </w:tblGrid>
      <w:tr w:rsidR="006B49D7" w:rsidTr="006B49D7">
        <w:tc>
          <w:tcPr>
            <w:tcW w:w="0" w:type="auto"/>
            <w:gridSpan w:val="2"/>
            <w:shd w:val="clear" w:color="auto" w:fill="F4F4F4"/>
            <w:vAlign w:val="center"/>
            <w:hideMark/>
          </w:tcPr>
          <w:p w:rsidR="006B49D7" w:rsidRDefault="006B49D7">
            <w:pPr>
              <w:rPr>
                <w:rFonts w:eastAsia="Times New Roman"/>
              </w:rPr>
            </w:pPr>
            <w:r>
              <w:rPr>
                <w:rFonts w:eastAsia="Times New Roman"/>
              </w:rPr>
              <w:t xml:space="preserve">  </w:t>
            </w:r>
          </w:p>
          <w:tbl>
            <w:tblPr>
              <w:tblW w:w="5000" w:type="pct"/>
              <w:tblCellMar>
                <w:left w:w="0" w:type="dxa"/>
                <w:right w:w="0" w:type="dxa"/>
              </w:tblCellMar>
              <w:tblLook w:val="04A0" w:firstRow="1" w:lastRow="0" w:firstColumn="1" w:lastColumn="0" w:noHBand="0" w:noVBand="1"/>
            </w:tblPr>
            <w:tblGrid>
              <w:gridCol w:w="9638"/>
            </w:tblGrid>
            <w:tr w:rsidR="006B49D7">
              <w:tc>
                <w:tcPr>
                  <w:tcW w:w="0" w:type="auto"/>
                  <w:hideMark/>
                </w:tcPr>
                <w:tbl>
                  <w:tblPr>
                    <w:tblW w:w="8250" w:type="dxa"/>
                    <w:jc w:val="center"/>
                    <w:shd w:val="clear" w:color="auto" w:fill="FFFFFF"/>
                    <w:tblCellMar>
                      <w:left w:w="0" w:type="dxa"/>
                      <w:right w:w="0" w:type="dxa"/>
                    </w:tblCellMar>
                    <w:tblLook w:val="04A0" w:firstRow="1" w:lastRow="0" w:firstColumn="1" w:lastColumn="0" w:noHBand="0" w:noVBand="1"/>
                  </w:tblPr>
                  <w:tblGrid>
                    <w:gridCol w:w="675"/>
                    <w:gridCol w:w="6900"/>
                    <w:gridCol w:w="675"/>
                  </w:tblGrid>
                  <w:tr w:rsidR="006B49D7">
                    <w:trPr>
                      <w:trHeight w:val="525"/>
                      <w:jc w:val="center"/>
                    </w:trPr>
                    <w:tc>
                      <w:tcPr>
                        <w:tcW w:w="675" w:type="dxa"/>
                        <w:shd w:val="clear" w:color="auto" w:fill="FFFFFF"/>
                        <w:vAlign w:val="center"/>
                        <w:hideMark/>
                      </w:tcPr>
                      <w:p w:rsidR="006B49D7" w:rsidRDefault="006B49D7">
                        <w:pPr>
                          <w:rPr>
                            <w:rFonts w:eastAsia="Times New Roman"/>
                          </w:rPr>
                        </w:pPr>
                        <w:r>
                          <w:rPr>
                            <w:rFonts w:eastAsia="Times New Roman"/>
                          </w:rPr>
                          <w:t> </w:t>
                        </w:r>
                      </w:p>
                    </w:tc>
                    <w:tc>
                      <w:tcPr>
                        <w:tcW w:w="0" w:type="auto"/>
                        <w:shd w:val="clear" w:color="auto" w:fill="FFFFFF"/>
                        <w:vAlign w:val="center"/>
                        <w:hideMark/>
                      </w:tcPr>
                      <w:p w:rsidR="006B49D7" w:rsidRDefault="006B49D7">
                        <w:pPr>
                          <w:rPr>
                            <w:rFonts w:eastAsia="Times New Roman"/>
                          </w:rPr>
                        </w:pPr>
                        <w:r>
                          <w:rPr>
                            <w:rFonts w:eastAsia="Times New Roman"/>
                          </w:rPr>
                          <w:t> </w:t>
                        </w:r>
                      </w:p>
                    </w:tc>
                    <w:tc>
                      <w:tcPr>
                        <w:tcW w:w="675" w:type="dxa"/>
                        <w:shd w:val="clear" w:color="auto" w:fill="FFFFFF"/>
                        <w:vAlign w:val="center"/>
                        <w:hideMark/>
                      </w:tcPr>
                      <w:p w:rsidR="006B49D7" w:rsidRDefault="006B49D7">
                        <w:pPr>
                          <w:rPr>
                            <w:rFonts w:eastAsia="Times New Roman"/>
                          </w:rPr>
                        </w:pPr>
                        <w:r>
                          <w:rPr>
                            <w:rFonts w:eastAsia="Times New Roman"/>
                          </w:rPr>
                          <w:t> </w:t>
                        </w:r>
                      </w:p>
                    </w:tc>
                  </w:tr>
                  <w:tr w:rsidR="006B49D7">
                    <w:trPr>
                      <w:jc w:val="center"/>
                    </w:trPr>
                    <w:tc>
                      <w:tcPr>
                        <w:tcW w:w="675" w:type="dxa"/>
                        <w:shd w:val="clear" w:color="auto" w:fill="FFFFFF"/>
                        <w:vAlign w:val="center"/>
                        <w:hideMark/>
                      </w:tcPr>
                      <w:p w:rsidR="006B49D7" w:rsidRDefault="006B49D7">
                        <w:pPr>
                          <w:rPr>
                            <w:rFonts w:eastAsia="Times New Roman"/>
                          </w:rPr>
                        </w:pPr>
                        <w:r>
                          <w:rPr>
                            <w:rFonts w:eastAsia="Times New Roman"/>
                          </w:rPr>
                          <w:t> </w:t>
                        </w:r>
                      </w:p>
                    </w:tc>
                    <w:tc>
                      <w:tcPr>
                        <w:tcW w:w="0" w:type="auto"/>
                        <w:shd w:val="clear" w:color="auto" w:fill="FFFFFF"/>
                        <w:vAlign w:val="center"/>
                        <w:hideMark/>
                      </w:tcPr>
                      <w:p w:rsidR="006B49D7" w:rsidRDefault="006B49D7">
                        <w:pPr>
                          <w:spacing w:line="360" w:lineRule="atLeast"/>
                          <w:rPr>
                            <w:rFonts w:ascii="Helvetica" w:eastAsia="Times New Roman" w:hAnsi="Helvetica" w:cs="Helvetica"/>
                            <w:b/>
                            <w:bCs/>
                            <w:color w:val="002319"/>
                            <w:sz w:val="36"/>
                            <w:szCs w:val="36"/>
                          </w:rPr>
                        </w:pPr>
                        <w:proofErr w:type="spellStart"/>
                        <w:r>
                          <w:rPr>
                            <w:rFonts w:ascii="Helvetica" w:eastAsia="Times New Roman" w:hAnsi="Helvetica" w:cs="Helvetica"/>
                            <w:b/>
                            <w:bCs/>
                            <w:color w:val="002319"/>
                            <w:sz w:val="36"/>
                            <w:szCs w:val="36"/>
                          </w:rPr>
                          <w:t>YouSee's</w:t>
                        </w:r>
                        <w:proofErr w:type="spellEnd"/>
                        <w:r>
                          <w:rPr>
                            <w:rFonts w:ascii="Helvetica" w:eastAsia="Times New Roman" w:hAnsi="Helvetica" w:cs="Helvetica"/>
                            <w:b/>
                            <w:bCs/>
                            <w:color w:val="002319"/>
                            <w:sz w:val="36"/>
                            <w:szCs w:val="36"/>
                          </w:rPr>
                          <w:t xml:space="preserve"> dør står stadig åben</w:t>
                        </w:r>
                      </w:p>
                    </w:tc>
                    <w:tc>
                      <w:tcPr>
                        <w:tcW w:w="675" w:type="dxa"/>
                        <w:shd w:val="clear" w:color="auto" w:fill="FFFFFF"/>
                        <w:vAlign w:val="center"/>
                        <w:hideMark/>
                      </w:tcPr>
                      <w:p w:rsidR="006B49D7" w:rsidRDefault="006B49D7">
                        <w:pPr>
                          <w:rPr>
                            <w:rFonts w:ascii="Calibri" w:eastAsia="Times New Roman" w:hAnsi="Calibri" w:cs="Calibri"/>
                          </w:rPr>
                        </w:pPr>
                        <w:r>
                          <w:rPr>
                            <w:rFonts w:eastAsia="Times New Roman"/>
                          </w:rPr>
                          <w:t> </w:t>
                        </w:r>
                      </w:p>
                    </w:tc>
                  </w:tr>
                  <w:tr w:rsidR="006B49D7">
                    <w:trPr>
                      <w:trHeight w:val="225"/>
                      <w:jc w:val="center"/>
                    </w:trPr>
                    <w:tc>
                      <w:tcPr>
                        <w:tcW w:w="675" w:type="dxa"/>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r>
                  <w:tr w:rsidR="006B49D7">
                    <w:trPr>
                      <w:jc w:val="center"/>
                    </w:trPr>
                    <w:tc>
                      <w:tcPr>
                        <w:tcW w:w="675" w:type="dxa"/>
                        <w:shd w:val="clear" w:color="auto" w:fill="FFFFFF"/>
                        <w:vAlign w:val="center"/>
                        <w:hideMark/>
                      </w:tcPr>
                      <w:p w:rsidR="006B49D7" w:rsidRDefault="006B49D7">
                        <w:pPr>
                          <w:rPr>
                            <w:rFonts w:eastAsia="Times New Roman"/>
                          </w:rPr>
                        </w:pPr>
                        <w:r>
                          <w:rPr>
                            <w:rFonts w:eastAsia="Times New Roman"/>
                          </w:rPr>
                          <w:t> </w:t>
                        </w:r>
                      </w:p>
                    </w:tc>
                    <w:tc>
                      <w:tcPr>
                        <w:tcW w:w="0" w:type="auto"/>
                        <w:shd w:val="clear" w:color="auto" w:fill="FFFFFF"/>
                        <w:vAlign w:val="center"/>
                      </w:tcPr>
                      <w:p w:rsidR="006B49D7" w:rsidRDefault="006B49D7">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I de sidste dages mediedækning kan vi godt forstå, at det er svært at finde ud af, hvilke tv-kanaler og indhold man fremover kan se hos os. Derfor skylder vi jer og jeres beboere og medlemmer en forklaring på, hvad der er op og ned. Det er nemlig blevet fremstillet som om, vi ikke vil samarbejde med Discovery Networks, der bl.a. tilbyder Kanal 5 og Discovery Channel. Det er ikke korrekt.</w:t>
                        </w:r>
                        <w:r>
                          <w:rPr>
                            <w:rFonts w:ascii="Helvetica" w:eastAsia="Times New Roman" w:hAnsi="Helvetica" w:cs="Helvetica"/>
                            <w:color w:val="002319"/>
                            <w:sz w:val="21"/>
                            <w:szCs w:val="21"/>
                          </w:rPr>
                          <w:br/>
                          <w:t> </w:t>
                        </w:r>
                        <w:r>
                          <w:rPr>
                            <w:rFonts w:ascii="Helvetica" w:eastAsia="Times New Roman" w:hAnsi="Helvetica" w:cs="Helvetica"/>
                            <w:color w:val="002319"/>
                            <w:sz w:val="21"/>
                            <w:szCs w:val="21"/>
                          </w:rPr>
                          <w:br/>
                          <w:t xml:space="preserve">Vi har haft et langt og godt samarbejde med Discovery Networks, som vi ønsker, skal fortsætte. Vi har forhandlet siden april måned, og vi ønsker at lave en ny aftale med Discovery Networks om fortsat at give adgang til deres kanaler. </w:t>
                        </w:r>
                        <w:proofErr w:type="spellStart"/>
                        <w:r>
                          <w:rPr>
                            <w:rFonts w:ascii="Helvetica" w:eastAsia="Times New Roman" w:hAnsi="Helvetica" w:cs="Helvetica"/>
                            <w:color w:val="002319"/>
                            <w:sz w:val="21"/>
                            <w:szCs w:val="21"/>
                          </w:rPr>
                          <w:t>YouSee’s</w:t>
                        </w:r>
                        <w:proofErr w:type="spellEnd"/>
                        <w:r>
                          <w:rPr>
                            <w:rFonts w:ascii="Helvetica" w:eastAsia="Times New Roman" w:hAnsi="Helvetica" w:cs="Helvetica"/>
                            <w:color w:val="002319"/>
                            <w:sz w:val="21"/>
                            <w:szCs w:val="21"/>
                          </w:rPr>
                          <w:t xml:space="preserve"> dør står stadig åben!</w:t>
                        </w:r>
                        <w:r>
                          <w:rPr>
                            <w:rFonts w:ascii="Helvetica" w:eastAsia="Times New Roman" w:hAnsi="Helvetica" w:cs="Helvetica"/>
                            <w:color w:val="002319"/>
                            <w:sz w:val="21"/>
                            <w:szCs w:val="21"/>
                          </w:rPr>
                          <w:br/>
                          <w:t> </w:t>
                        </w:r>
                        <w:r>
                          <w:rPr>
                            <w:rFonts w:ascii="Helvetica" w:eastAsia="Times New Roman" w:hAnsi="Helvetica" w:cs="Helvetica"/>
                            <w:color w:val="002319"/>
                            <w:sz w:val="21"/>
                            <w:szCs w:val="21"/>
                          </w:rPr>
                          <w:br/>
                          <w:t>Derfor vil jeres beboere og medlemmer modtage information fra os, som forklarer, hvad det betyder for dem og deres tv-pakke. I nedenstående kan du se brevets indhold.</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r>
                        <w:r>
                          <w:rPr>
                            <w:rStyle w:val="Strk"/>
                            <w:rFonts w:ascii="Helvetica" w:eastAsia="Times New Roman" w:hAnsi="Helvetica" w:cs="Helvetica"/>
                            <w:color w:val="002319"/>
                            <w:sz w:val="30"/>
                            <w:szCs w:val="30"/>
                          </w:rPr>
                          <w:t>Vi vil gerne slå fast, at de største sportsoplevelser er sikret hos YouSee</w:t>
                        </w:r>
                        <w:r>
                          <w:rPr>
                            <w:rFonts w:ascii="Helvetica" w:eastAsia="Times New Roman" w:hAnsi="Helvetica" w:cs="Helvetica"/>
                            <w:color w:val="002319"/>
                            <w:sz w:val="21"/>
                            <w:szCs w:val="21"/>
                          </w:rPr>
                          <w:br/>
                          <w:t xml:space="preserve">  </w:t>
                        </w:r>
                      </w:p>
                      <w:tbl>
                        <w:tblPr>
                          <w:tblW w:w="5000" w:type="pct"/>
                          <w:tblCellMar>
                            <w:left w:w="0" w:type="dxa"/>
                            <w:right w:w="0" w:type="dxa"/>
                          </w:tblCellMar>
                          <w:tblLook w:val="04A0" w:firstRow="1" w:lastRow="0" w:firstColumn="1" w:lastColumn="0" w:noHBand="0" w:noVBand="1"/>
                        </w:tblPr>
                        <w:tblGrid>
                          <w:gridCol w:w="180"/>
                          <w:gridCol w:w="150"/>
                          <w:gridCol w:w="6570"/>
                        </w:tblGrid>
                        <w:tr w:rsidR="006B49D7">
                          <w:tc>
                            <w:tcPr>
                              <w:tcW w:w="180" w:type="dxa"/>
                              <w:hideMark/>
                            </w:tcPr>
                            <w:p w:rsidR="006B49D7" w:rsidRDefault="006B49D7">
                              <w:pPr>
                                <w:rPr>
                                  <w:rFonts w:ascii="Calibri" w:eastAsia="Times New Roman" w:hAnsi="Calibri" w:cs="Calibri"/>
                                </w:rPr>
                              </w:pPr>
                              <w:r>
                                <w:rPr>
                                  <w:rFonts w:eastAsia="Times New Roman"/>
                                  <w:noProof/>
                                </w:rPr>
                                <w:drawing>
                                  <wp:inline distT="0" distB="0" distL="0" distR="0">
                                    <wp:extent cx="114300" cy="1524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50" w:type="dxa"/>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285"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Alle beboere og medlemmer kan følge herrelandsholdet i deres kvalifikation til EM i fodbold i efteråret</w:t>
                              </w:r>
                            </w:p>
                          </w:tc>
                        </w:tr>
                        <w:tr w:rsidR="006B49D7">
                          <w:trPr>
                            <w:trHeight w:val="150"/>
                          </w:trPr>
                          <w:tc>
                            <w:tcPr>
                              <w:tcW w:w="0" w:type="auto"/>
                              <w:vAlign w:val="center"/>
                              <w:hideMark/>
                            </w:tcPr>
                            <w:p w:rsidR="006B49D7" w:rsidRDefault="006B49D7">
                              <w:pPr>
                                <w:spacing w:line="15" w:lineRule="atLeast"/>
                                <w:rPr>
                                  <w:rFonts w:ascii="Calibri" w:eastAsia="Times New Roman" w:hAnsi="Calibri" w:cs="Calibri"/>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r>
                      </w:tbl>
                      <w:p w:rsidR="006B49D7" w:rsidRDefault="006B49D7">
                        <w:pPr>
                          <w:spacing w:line="270" w:lineRule="atLeast"/>
                          <w:rPr>
                            <w:rFonts w:ascii="Helvetica" w:eastAsia="Times New Roman" w:hAnsi="Helvetica" w:cs="Helvetica"/>
                            <w:vanish/>
                            <w:color w:val="002319"/>
                            <w:sz w:val="21"/>
                            <w:szCs w:val="21"/>
                          </w:rPr>
                        </w:pPr>
                      </w:p>
                      <w:tbl>
                        <w:tblPr>
                          <w:tblW w:w="5000" w:type="pct"/>
                          <w:tblCellMar>
                            <w:left w:w="0" w:type="dxa"/>
                            <w:right w:w="0" w:type="dxa"/>
                          </w:tblCellMar>
                          <w:tblLook w:val="04A0" w:firstRow="1" w:lastRow="0" w:firstColumn="1" w:lastColumn="0" w:noHBand="0" w:noVBand="1"/>
                        </w:tblPr>
                        <w:tblGrid>
                          <w:gridCol w:w="180"/>
                          <w:gridCol w:w="150"/>
                          <w:gridCol w:w="6570"/>
                        </w:tblGrid>
                        <w:tr w:rsidR="006B49D7">
                          <w:tc>
                            <w:tcPr>
                              <w:tcW w:w="180" w:type="dxa"/>
                              <w:hideMark/>
                            </w:tcPr>
                            <w:p w:rsidR="006B49D7" w:rsidRDefault="006B49D7">
                              <w:pPr>
                                <w:rPr>
                                  <w:rFonts w:ascii="Calibri" w:eastAsia="Times New Roman" w:hAnsi="Calibri" w:cs="Calibri"/>
                                </w:rPr>
                              </w:pPr>
                              <w:r>
                                <w:rPr>
                                  <w:rFonts w:eastAsia="Times New Roman"/>
                                  <w:noProof/>
                                </w:rPr>
                                <w:drawing>
                                  <wp:inline distT="0" distB="0" distL="0" distR="0">
                                    <wp:extent cx="114300" cy="1524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50" w:type="dxa"/>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285"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Alle kan se masser af OL</w:t>
                              </w:r>
                            </w:p>
                          </w:tc>
                        </w:tr>
                        <w:tr w:rsidR="006B49D7">
                          <w:trPr>
                            <w:trHeight w:val="150"/>
                          </w:trPr>
                          <w:tc>
                            <w:tcPr>
                              <w:tcW w:w="0" w:type="auto"/>
                              <w:vAlign w:val="center"/>
                              <w:hideMark/>
                            </w:tcPr>
                            <w:p w:rsidR="006B49D7" w:rsidRDefault="006B49D7">
                              <w:pPr>
                                <w:spacing w:line="15" w:lineRule="atLeast"/>
                                <w:rPr>
                                  <w:rFonts w:ascii="Calibri" w:eastAsia="Times New Roman" w:hAnsi="Calibri" w:cs="Calibri"/>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r>
                      </w:tbl>
                      <w:p w:rsidR="006B49D7" w:rsidRDefault="006B49D7">
                        <w:pPr>
                          <w:spacing w:line="270" w:lineRule="atLeast"/>
                          <w:rPr>
                            <w:rFonts w:ascii="Helvetica" w:eastAsia="Times New Roman" w:hAnsi="Helvetica" w:cs="Helvetica"/>
                            <w:vanish/>
                            <w:color w:val="002319"/>
                            <w:sz w:val="21"/>
                            <w:szCs w:val="21"/>
                          </w:rPr>
                        </w:pPr>
                      </w:p>
                      <w:tbl>
                        <w:tblPr>
                          <w:tblW w:w="5000" w:type="pct"/>
                          <w:tblCellMar>
                            <w:left w:w="0" w:type="dxa"/>
                            <w:right w:w="0" w:type="dxa"/>
                          </w:tblCellMar>
                          <w:tblLook w:val="04A0" w:firstRow="1" w:lastRow="0" w:firstColumn="1" w:lastColumn="0" w:noHBand="0" w:noVBand="1"/>
                        </w:tblPr>
                        <w:tblGrid>
                          <w:gridCol w:w="180"/>
                          <w:gridCol w:w="150"/>
                          <w:gridCol w:w="6570"/>
                        </w:tblGrid>
                        <w:tr w:rsidR="006B49D7">
                          <w:tc>
                            <w:tcPr>
                              <w:tcW w:w="180" w:type="dxa"/>
                              <w:hideMark/>
                            </w:tcPr>
                            <w:p w:rsidR="006B49D7" w:rsidRDefault="006B49D7">
                              <w:pPr>
                                <w:rPr>
                                  <w:rFonts w:ascii="Calibri" w:eastAsia="Times New Roman" w:hAnsi="Calibri" w:cs="Calibri"/>
                                </w:rPr>
                              </w:pPr>
                              <w:r>
                                <w:rPr>
                                  <w:rFonts w:eastAsia="Times New Roman"/>
                                  <w:noProof/>
                                </w:rPr>
                                <w:drawing>
                                  <wp:inline distT="0" distB="0" distL="0" distR="0">
                                    <wp:extent cx="114300" cy="1524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50" w:type="dxa"/>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285"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Vi tilbyder hele Premier League, Champions League og de fleste Superligakampe - også til næste år</w:t>
                              </w:r>
                            </w:p>
                          </w:tc>
                        </w:tr>
                        <w:tr w:rsidR="006B49D7">
                          <w:trPr>
                            <w:trHeight w:val="150"/>
                          </w:trPr>
                          <w:tc>
                            <w:tcPr>
                              <w:tcW w:w="0" w:type="auto"/>
                              <w:vAlign w:val="center"/>
                              <w:hideMark/>
                            </w:tcPr>
                            <w:p w:rsidR="006B49D7" w:rsidRDefault="006B49D7">
                              <w:pPr>
                                <w:spacing w:line="15" w:lineRule="atLeast"/>
                                <w:rPr>
                                  <w:rFonts w:ascii="Calibri" w:eastAsia="Times New Roman" w:hAnsi="Calibri" w:cs="Calibri"/>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r>
                      </w:tbl>
                      <w:p w:rsidR="006B49D7" w:rsidRDefault="006B49D7">
                        <w:pPr>
                          <w:spacing w:line="270" w:lineRule="atLeast"/>
                          <w:rPr>
                            <w:rFonts w:ascii="Helvetica" w:eastAsia="Times New Roman" w:hAnsi="Helvetica" w:cs="Helvetica"/>
                            <w:vanish/>
                            <w:color w:val="002319"/>
                            <w:sz w:val="21"/>
                            <w:szCs w:val="21"/>
                          </w:rPr>
                        </w:pPr>
                      </w:p>
                      <w:tbl>
                        <w:tblPr>
                          <w:tblW w:w="5000" w:type="pct"/>
                          <w:tblCellMar>
                            <w:left w:w="0" w:type="dxa"/>
                            <w:right w:w="0" w:type="dxa"/>
                          </w:tblCellMar>
                          <w:tblLook w:val="04A0" w:firstRow="1" w:lastRow="0" w:firstColumn="1" w:lastColumn="0" w:noHBand="0" w:noVBand="1"/>
                        </w:tblPr>
                        <w:tblGrid>
                          <w:gridCol w:w="180"/>
                          <w:gridCol w:w="150"/>
                          <w:gridCol w:w="6570"/>
                        </w:tblGrid>
                        <w:tr w:rsidR="006B49D7">
                          <w:tc>
                            <w:tcPr>
                              <w:tcW w:w="180" w:type="dxa"/>
                              <w:hideMark/>
                            </w:tcPr>
                            <w:p w:rsidR="006B49D7" w:rsidRDefault="006B49D7">
                              <w:pPr>
                                <w:rPr>
                                  <w:rFonts w:ascii="Calibri" w:eastAsia="Times New Roman" w:hAnsi="Calibri" w:cs="Calibri"/>
                                </w:rPr>
                              </w:pPr>
                              <w:r>
                                <w:rPr>
                                  <w:rFonts w:eastAsia="Times New Roman"/>
                                  <w:noProof/>
                                </w:rPr>
                                <w:lastRenderedPageBreak/>
                                <w:drawing>
                                  <wp:inline distT="0" distB="0" distL="0" distR="0">
                                    <wp:extent cx="114300" cy="1524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50" w:type="dxa"/>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285"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t>Vi tilbyder Tour de France, Wimbledon, alle løb fra Formel 1 og meget, meget mere.</w:t>
                              </w:r>
                            </w:p>
                          </w:tc>
                        </w:tr>
                        <w:tr w:rsidR="006B49D7">
                          <w:trPr>
                            <w:trHeight w:val="150"/>
                          </w:trPr>
                          <w:tc>
                            <w:tcPr>
                              <w:tcW w:w="0" w:type="auto"/>
                              <w:vAlign w:val="center"/>
                              <w:hideMark/>
                            </w:tcPr>
                            <w:p w:rsidR="006B49D7" w:rsidRDefault="006B49D7">
                              <w:pPr>
                                <w:spacing w:line="15" w:lineRule="atLeast"/>
                                <w:rPr>
                                  <w:rFonts w:ascii="Calibri" w:eastAsia="Times New Roman" w:hAnsi="Calibri" w:cs="Calibri"/>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vAlign w:val="center"/>
                              <w:hideMark/>
                            </w:tcPr>
                            <w:p w:rsidR="006B49D7" w:rsidRDefault="006B49D7">
                              <w:pPr>
                                <w:spacing w:line="15" w:lineRule="atLeast"/>
                                <w:rPr>
                                  <w:rFonts w:eastAsia="Times New Roman"/>
                                  <w:sz w:val="2"/>
                                  <w:szCs w:val="2"/>
                                </w:rPr>
                              </w:pPr>
                              <w:r>
                                <w:rPr>
                                  <w:rFonts w:eastAsia="Times New Roman"/>
                                  <w:sz w:val="2"/>
                                  <w:szCs w:val="2"/>
                                </w:rPr>
                                <w:t> </w:t>
                              </w:r>
                            </w:p>
                          </w:tc>
                        </w:tr>
                      </w:tbl>
                      <w:p w:rsidR="006B49D7" w:rsidRDefault="006B49D7">
                        <w:pPr>
                          <w:spacing w:line="270" w:lineRule="atLeast"/>
                          <w:rPr>
                            <w:rFonts w:ascii="Helvetica" w:eastAsia="Times New Roman" w:hAnsi="Helvetica" w:cs="Helvetica"/>
                            <w:color w:val="002319"/>
                            <w:sz w:val="21"/>
                            <w:szCs w:val="21"/>
                          </w:rPr>
                        </w:pPr>
                        <w:r>
                          <w:rPr>
                            <w:rFonts w:ascii="Helvetica" w:eastAsia="Times New Roman" w:hAnsi="Helvetica" w:cs="Helvetica"/>
                            <w:color w:val="002319"/>
                            <w:sz w:val="21"/>
                            <w:szCs w:val="21"/>
                          </w:rPr>
                          <w:br/>
                          <w:t xml:space="preserve">På </w:t>
                        </w:r>
                        <w:bookmarkStart w:id="1" w:name="mityousee_dk_"/>
                        <w:r>
                          <w:rPr>
                            <w:rFonts w:ascii="Helvetica" w:eastAsia="Times New Roman" w:hAnsi="Helvetica" w:cs="Helvetica"/>
                            <w:color w:val="002319"/>
                            <w:sz w:val="21"/>
                            <w:szCs w:val="21"/>
                          </w:rPr>
                          <w:fldChar w:fldCharType="begin"/>
                        </w:r>
                        <w:r>
                          <w:rPr>
                            <w:rFonts w:ascii="Helvetica" w:eastAsia="Times New Roman" w:hAnsi="Helvetica" w:cs="Helvetica"/>
                            <w:color w:val="002319"/>
                            <w:sz w:val="21"/>
                            <w:szCs w:val="21"/>
                          </w:rPr>
                          <w:instrText xml:space="preserve"> HYPERLINK "http://links.nyheder.yousee.dk/ctt?kn=7&amp;ms=NzMwNjI3NwS2&amp;r=MjY5MTE1ODE0MzIwS0&amp;b=0&amp;j=MTM1MzE2MjQ5MwS2&amp;mt=1&amp;rt=0" </w:instrText>
                        </w:r>
                        <w:r>
                          <w:rPr>
                            <w:rFonts w:ascii="Helvetica" w:eastAsia="Times New Roman" w:hAnsi="Helvetica" w:cs="Helvetica"/>
                            <w:color w:val="002319"/>
                            <w:sz w:val="21"/>
                            <w:szCs w:val="21"/>
                          </w:rPr>
                          <w:fldChar w:fldCharType="separate"/>
                        </w:r>
                        <w:r>
                          <w:rPr>
                            <w:rStyle w:val="Hyperlink"/>
                            <w:rFonts w:ascii="Helvetica" w:eastAsia="Times New Roman" w:hAnsi="Helvetica" w:cs="Helvetica"/>
                            <w:sz w:val="21"/>
                            <w:szCs w:val="21"/>
                            <w:u w:val="none"/>
                          </w:rPr>
                          <w:t>DIGITAL.TV</w:t>
                        </w:r>
                        <w:bookmarkEnd w:id="1"/>
                        <w:r>
                          <w:rPr>
                            <w:rFonts w:ascii="Helvetica" w:eastAsia="Times New Roman" w:hAnsi="Helvetica" w:cs="Helvetica"/>
                            <w:color w:val="002319"/>
                            <w:sz w:val="21"/>
                            <w:szCs w:val="21"/>
                          </w:rPr>
                          <w:fldChar w:fldCharType="end"/>
                        </w:r>
                        <w:r>
                          <w:rPr>
                            <w:rFonts w:ascii="Helvetica" w:eastAsia="Times New Roman" w:hAnsi="Helvetica" w:cs="Helvetica"/>
                            <w:color w:val="002319"/>
                            <w:sz w:val="21"/>
                            <w:szCs w:val="21"/>
                          </w:rPr>
                          <w:t> er der en oversigt med information om det store udvalg af sportsgrene og på hvilke tv-kanaler og streamingtjenester der sendes fx fodbold, håndbold, motorsport.</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r>
                        <w:r>
                          <w:rPr>
                            <w:rStyle w:val="Strk"/>
                            <w:rFonts w:ascii="Helvetica" w:eastAsia="Times New Roman" w:hAnsi="Helvetica" w:cs="Helvetica"/>
                            <w:color w:val="002319"/>
                            <w:sz w:val="30"/>
                            <w:szCs w:val="30"/>
                          </w:rPr>
                          <w:t>Større valgfrihed og mere kvalitetsindhold</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t>Det er også det jeres beboere og medlemmer efterlyser. Vi ser naturligvis løbende på, hvad kunderne ser mest, og hvad vi skal betale for det indhold, der er i de faste tv-pakker. Prisen på indholdsrettigheder – ikke mindst sportsrettigheder - stiger hele tiden. En prisstigning, der i sidste ende også betales af jeres beboere og medlemmer. Vores fokus er at arbejde for at sikre den bedste underholdning og samtidig sikre, at man i vores Bland Selv-univers selv kan vælge hvilket indhold, man vil se og betale for, og hvilket indhold man ikke har lyst til at betale for.</w:t>
                        </w:r>
                        <w:r>
                          <w:rPr>
                            <w:rFonts w:ascii="Helvetica" w:eastAsia="Times New Roman" w:hAnsi="Helvetica" w:cs="Helvetica"/>
                            <w:color w:val="002319"/>
                            <w:sz w:val="21"/>
                            <w:szCs w:val="21"/>
                          </w:rPr>
                          <w:br/>
                          <w:t> </w:t>
                        </w:r>
                        <w:r>
                          <w:rPr>
                            <w:rFonts w:ascii="Helvetica" w:eastAsia="Times New Roman" w:hAnsi="Helvetica" w:cs="Helvetica"/>
                            <w:color w:val="002319"/>
                            <w:sz w:val="21"/>
                            <w:szCs w:val="21"/>
                          </w:rPr>
                          <w:br/>
                          <w:t>Vi har derfor valgt at erstatte Discoverys indhold i de faste tv-pakker med andet kvalitetsindhold – og en meget stor del af det er reklamefrit. I Mellempakken øges bredden af sportsudbuddet, mens Fuldpakken bliver opgraderet til en stærk film- og seriepakke, der tilgodeser både traditionelt tv og streaming. Derudover får jeres beboere og medlemmer fra næste år mulighed for – som de første – at streame nye danske premierefilm som fx Marco-effekten via et nyt samarbejde med Nordisk Film.</w:t>
                        </w:r>
                        <w:r>
                          <w:rPr>
                            <w:rFonts w:ascii="Helvetica" w:eastAsia="Times New Roman" w:hAnsi="Helvetica" w:cs="Helvetica"/>
                            <w:color w:val="002319"/>
                            <w:sz w:val="21"/>
                            <w:szCs w:val="21"/>
                          </w:rPr>
                          <w:br/>
                          <w:t> </w:t>
                        </w:r>
                        <w:r>
                          <w:rPr>
                            <w:rFonts w:ascii="Helvetica" w:eastAsia="Times New Roman" w:hAnsi="Helvetica" w:cs="Helvetica"/>
                            <w:color w:val="002319"/>
                            <w:sz w:val="21"/>
                            <w:szCs w:val="21"/>
                          </w:rPr>
                          <w:br/>
                          <w:t xml:space="preserve">I kan læse mere om ændringerne, de nye tiltag og samarbejder med masser af dansk underholdning på </w:t>
                        </w:r>
                        <w:bookmarkStart w:id="2" w:name="mityousee_dk__2"/>
                        <w:r>
                          <w:rPr>
                            <w:rFonts w:ascii="Helvetica" w:eastAsia="Times New Roman" w:hAnsi="Helvetica" w:cs="Helvetica"/>
                            <w:color w:val="002319"/>
                            <w:sz w:val="21"/>
                            <w:szCs w:val="21"/>
                          </w:rPr>
                          <w:fldChar w:fldCharType="begin"/>
                        </w:r>
                        <w:r>
                          <w:rPr>
                            <w:rFonts w:ascii="Helvetica" w:eastAsia="Times New Roman" w:hAnsi="Helvetica" w:cs="Helvetica"/>
                            <w:color w:val="002319"/>
                            <w:sz w:val="21"/>
                            <w:szCs w:val="21"/>
                          </w:rPr>
                          <w:instrText xml:space="preserve"> HYPERLINK "http://links.nyheder.yousee.dk/ctt?kn=9&amp;ms=NzMwNjI3NwS2&amp;r=MjY5MTE1ODE0MzIwS0&amp;b=0&amp;j=MTM1MzE2MjQ5MwS2&amp;mt=1&amp;rt=0" </w:instrText>
                        </w:r>
                        <w:r>
                          <w:rPr>
                            <w:rFonts w:ascii="Helvetica" w:eastAsia="Times New Roman" w:hAnsi="Helvetica" w:cs="Helvetica"/>
                            <w:color w:val="002319"/>
                            <w:sz w:val="21"/>
                            <w:szCs w:val="21"/>
                          </w:rPr>
                          <w:fldChar w:fldCharType="separate"/>
                        </w:r>
                        <w:r>
                          <w:rPr>
                            <w:rStyle w:val="Hyperlink"/>
                            <w:rFonts w:ascii="Helvetica" w:eastAsia="Times New Roman" w:hAnsi="Helvetica" w:cs="Helvetica"/>
                            <w:sz w:val="21"/>
                            <w:szCs w:val="21"/>
                            <w:u w:val="none"/>
                          </w:rPr>
                          <w:t>yousee.dk/tv2020</w:t>
                        </w:r>
                        <w:bookmarkEnd w:id="2"/>
                        <w:r>
                          <w:rPr>
                            <w:rFonts w:ascii="Helvetica" w:eastAsia="Times New Roman" w:hAnsi="Helvetica" w:cs="Helvetica"/>
                            <w:color w:val="002319"/>
                            <w:sz w:val="21"/>
                            <w:szCs w:val="21"/>
                          </w:rPr>
                          <w:fldChar w:fldCharType="end"/>
                        </w:r>
                        <w:r>
                          <w:rPr>
                            <w:rFonts w:ascii="Helvetica" w:eastAsia="Times New Roman" w:hAnsi="Helvetica" w:cs="Helvetica"/>
                            <w:color w:val="002319"/>
                            <w:sz w:val="21"/>
                            <w:szCs w:val="21"/>
                          </w:rPr>
                          <w:t> </w:t>
                        </w:r>
                        <w:r>
                          <w:rPr>
                            <w:rFonts w:ascii="Helvetica" w:eastAsia="Times New Roman" w:hAnsi="Helvetica" w:cs="Helvetica"/>
                            <w:color w:val="002319"/>
                            <w:sz w:val="21"/>
                            <w:szCs w:val="21"/>
                          </w:rPr>
                          <w:br/>
                        </w:r>
                        <w:r>
                          <w:rPr>
                            <w:rFonts w:ascii="Helvetica" w:eastAsia="Times New Roman" w:hAnsi="Helvetica" w:cs="Helvetica"/>
                            <w:color w:val="002319"/>
                            <w:sz w:val="21"/>
                            <w:szCs w:val="21"/>
                          </w:rPr>
                          <w:br/>
                        </w:r>
                        <w:r>
                          <w:rPr>
                            <w:rStyle w:val="Strk"/>
                            <w:rFonts w:ascii="Helvetica" w:eastAsia="Times New Roman" w:hAnsi="Helvetica" w:cs="Helvetica"/>
                            <w:color w:val="002319"/>
                            <w:sz w:val="21"/>
                            <w:szCs w:val="21"/>
                          </w:rPr>
                          <w:t>Nedenunder er den information, der i næste uge lander hos jeres medlemmer og beboere.</w:t>
                        </w:r>
                        <w:r>
                          <w:rPr>
                            <w:rFonts w:ascii="Helvetica" w:eastAsia="Times New Roman" w:hAnsi="Helvetica" w:cs="Helvetica"/>
                            <w:color w:val="002319"/>
                            <w:sz w:val="21"/>
                            <w:szCs w:val="21"/>
                          </w:rPr>
                          <w:t> </w:t>
                        </w:r>
                      </w:p>
                    </w:tc>
                    <w:tc>
                      <w:tcPr>
                        <w:tcW w:w="675" w:type="dxa"/>
                        <w:shd w:val="clear" w:color="auto" w:fill="FFFFFF"/>
                        <w:vAlign w:val="center"/>
                        <w:hideMark/>
                      </w:tcPr>
                      <w:p w:rsidR="006B49D7" w:rsidRDefault="006B49D7">
                        <w:pPr>
                          <w:rPr>
                            <w:rFonts w:ascii="Calibri" w:eastAsia="Times New Roman" w:hAnsi="Calibri" w:cs="Calibri"/>
                          </w:rPr>
                        </w:pPr>
                        <w:r>
                          <w:rPr>
                            <w:rFonts w:eastAsia="Times New Roman"/>
                          </w:rPr>
                          <w:lastRenderedPageBreak/>
                          <w:t> </w:t>
                        </w:r>
                      </w:p>
                    </w:tc>
                  </w:tr>
                  <w:tr w:rsidR="006B49D7">
                    <w:trPr>
                      <w:trHeight w:val="375"/>
                      <w:jc w:val="center"/>
                    </w:trPr>
                    <w:tc>
                      <w:tcPr>
                        <w:tcW w:w="675" w:type="dxa"/>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0" w:type="auto"/>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c>
                      <w:tcPr>
                        <w:tcW w:w="675" w:type="dxa"/>
                        <w:shd w:val="clear" w:color="auto" w:fill="FFFFFF"/>
                        <w:vAlign w:val="center"/>
                        <w:hideMark/>
                      </w:tcPr>
                      <w:p w:rsidR="006B49D7" w:rsidRDefault="006B49D7">
                        <w:pPr>
                          <w:spacing w:line="15" w:lineRule="atLeast"/>
                          <w:rPr>
                            <w:rFonts w:eastAsia="Times New Roman"/>
                            <w:sz w:val="2"/>
                            <w:szCs w:val="2"/>
                          </w:rPr>
                        </w:pPr>
                        <w:r>
                          <w:rPr>
                            <w:rFonts w:eastAsia="Times New Roman"/>
                            <w:sz w:val="2"/>
                            <w:szCs w:val="2"/>
                          </w:rPr>
                          <w:t> </w:t>
                        </w:r>
                      </w:p>
                    </w:tc>
                  </w:tr>
                  <w:tr w:rsidR="006B49D7">
                    <w:trPr>
                      <w:jc w:val="center"/>
                    </w:trPr>
                    <w:tc>
                      <w:tcPr>
                        <w:tcW w:w="675" w:type="dxa"/>
                        <w:shd w:val="clear" w:color="auto" w:fill="FFFFFF"/>
                        <w:vAlign w:val="center"/>
                        <w:hideMark/>
                      </w:tcPr>
                      <w:p w:rsidR="006B49D7" w:rsidRDefault="006B49D7">
                        <w:pPr>
                          <w:rPr>
                            <w:rFonts w:eastAsia="Times New Roman"/>
                          </w:rPr>
                        </w:pPr>
                        <w:r>
                          <w:rPr>
                            <w:rFonts w:eastAsia="Times New Roman"/>
                          </w:rPr>
                          <w:t> </w:t>
                        </w:r>
                      </w:p>
                    </w:t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75"/>
                          <w:gridCol w:w="210"/>
                        </w:tblGrid>
                        <w:tr w:rsidR="006B49D7">
                          <w:trPr>
                            <w:trHeight w:val="300"/>
                          </w:trPr>
                          <w:tc>
                            <w:tcPr>
                              <w:tcW w:w="0" w:type="auto"/>
                              <w:vAlign w:val="center"/>
                              <w:hideMark/>
                            </w:tcPr>
                            <w:bookmarkStart w:id="3" w:name="Link1"/>
                            <w:p w:rsidR="006B49D7" w:rsidRDefault="006B49D7">
                              <w:pPr>
                                <w:rPr>
                                  <w:rFonts w:ascii="Helvetica" w:eastAsia="Times New Roman" w:hAnsi="Helvetica" w:cs="Helvetica"/>
                                  <w:b/>
                                  <w:bCs/>
                                  <w:color w:val="002319"/>
                                  <w:sz w:val="24"/>
                                  <w:szCs w:val="24"/>
                                </w:rPr>
                              </w:pPr>
                              <w:r>
                                <w:fldChar w:fldCharType="begin"/>
                              </w:r>
                              <w:r>
                                <w:instrText xml:space="preserve"> HYPERLINK "http://links.nyheder.yousee.dk/ctt?kn=10&amp;ms=NzMwNjI3NwS2&amp;r=MjY5MTE1ODE0MzIwS0&amp;b=0&amp;j=MTM1MzE2MjQ5MwS2&amp;mt=1&amp;rt=0" \t "_blank" </w:instrText>
                              </w:r>
                              <w:r>
                                <w:fldChar w:fldCharType="separate"/>
                              </w:r>
                              <w:r>
                                <w:rPr>
                                  <w:rStyle w:val="Hyperlink"/>
                                  <w:rFonts w:ascii="Helvetica" w:eastAsia="Times New Roman" w:hAnsi="Helvetica" w:cs="Helvetica"/>
                                  <w:b/>
                                  <w:bCs/>
                                  <w:sz w:val="24"/>
                                  <w:szCs w:val="24"/>
                                  <w:u w:val="none"/>
                                </w:rPr>
                                <w:t>Læs mere her</w:t>
                              </w:r>
                              <w:bookmarkEnd w:id="3"/>
                              <w:r>
                                <w:fldChar w:fldCharType="end"/>
                              </w:r>
                              <w:r>
                                <w:rPr>
                                  <w:rFonts w:ascii="Helvetica" w:eastAsia="Times New Roman" w:hAnsi="Helvetica" w:cs="Helvetica"/>
                                  <w:b/>
                                  <w:bCs/>
                                  <w:color w:val="002319"/>
                                  <w:sz w:val="24"/>
                                  <w:szCs w:val="24"/>
                                </w:rPr>
                                <w:t xml:space="preserve"> </w:t>
                              </w:r>
                            </w:p>
                          </w:tc>
                          <w:tc>
                            <w:tcPr>
                              <w:tcW w:w="0" w:type="auto"/>
                              <w:vAlign w:val="center"/>
                              <w:hideMark/>
                            </w:tcPr>
                            <w:p w:rsidR="006B49D7" w:rsidRDefault="006B49D7">
                              <w:pPr>
                                <w:rPr>
                                  <w:rFonts w:ascii="Calibri" w:eastAsia="Times New Roman" w:hAnsi="Calibri" w:cs="Calibri"/>
                                </w:rPr>
                              </w:pPr>
                              <w:r>
                                <w:rPr>
                                  <w:rFonts w:eastAsia="Times New Roman"/>
                                  <w:noProof/>
                                </w:rPr>
                                <w:drawing>
                                  <wp:inline distT="0" distB="0" distL="0" distR="0">
                                    <wp:extent cx="133350" cy="1905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p>
                          </w:tc>
                        </w:tr>
                      </w:tbl>
                      <w:p w:rsidR="006B49D7" w:rsidRDefault="006B49D7">
                        <w:pPr>
                          <w:rPr>
                            <w:rFonts w:ascii="Times New Roman" w:eastAsia="Times New Roman" w:hAnsi="Times New Roman" w:cs="Times New Roman"/>
                            <w:sz w:val="20"/>
                            <w:szCs w:val="20"/>
                          </w:rPr>
                        </w:pPr>
                      </w:p>
                    </w:tc>
                    <w:tc>
                      <w:tcPr>
                        <w:tcW w:w="675" w:type="dxa"/>
                        <w:shd w:val="clear" w:color="auto" w:fill="FFFFFF"/>
                        <w:vAlign w:val="center"/>
                        <w:hideMark/>
                      </w:tcPr>
                      <w:p w:rsidR="006B49D7" w:rsidRDefault="006B49D7">
                        <w:pPr>
                          <w:rPr>
                            <w:rFonts w:ascii="Calibri" w:eastAsia="Times New Roman" w:hAnsi="Calibri" w:cs="Calibri"/>
                          </w:rPr>
                        </w:pPr>
                        <w:r>
                          <w:rPr>
                            <w:rFonts w:eastAsia="Times New Roman"/>
                          </w:rPr>
                          <w:t> </w:t>
                        </w:r>
                      </w:p>
                    </w:tc>
                  </w:tr>
                  <w:tr w:rsidR="006B49D7">
                    <w:trPr>
                      <w:trHeight w:val="600"/>
                      <w:jc w:val="center"/>
                    </w:trPr>
                    <w:tc>
                      <w:tcPr>
                        <w:tcW w:w="675" w:type="dxa"/>
                        <w:shd w:val="clear" w:color="auto" w:fill="FFFFFF"/>
                        <w:vAlign w:val="center"/>
                        <w:hideMark/>
                      </w:tcPr>
                      <w:p w:rsidR="006B49D7" w:rsidRDefault="006B49D7">
                        <w:pPr>
                          <w:rPr>
                            <w:rFonts w:eastAsia="Times New Roman"/>
                          </w:rPr>
                        </w:pPr>
                        <w:r>
                          <w:rPr>
                            <w:rFonts w:eastAsia="Times New Roman"/>
                          </w:rPr>
                          <w:t> </w:t>
                        </w:r>
                      </w:p>
                    </w:tc>
                    <w:tc>
                      <w:tcPr>
                        <w:tcW w:w="0" w:type="auto"/>
                        <w:shd w:val="clear" w:color="auto" w:fill="FFFFFF"/>
                        <w:vAlign w:val="center"/>
                        <w:hideMark/>
                      </w:tcPr>
                      <w:p w:rsidR="006B49D7" w:rsidRDefault="006B49D7">
                        <w:pPr>
                          <w:rPr>
                            <w:rFonts w:eastAsia="Times New Roman"/>
                          </w:rPr>
                        </w:pPr>
                        <w:r>
                          <w:rPr>
                            <w:rFonts w:eastAsia="Times New Roman"/>
                          </w:rPr>
                          <w:t> </w:t>
                        </w:r>
                      </w:p>
                    </w:tc>
                    <w:tc>
                      <w:tcPr>
                        <w:tcW w:w="675" w:type="dxa"/>
                        <w:shd w:val="clear" w:color="auto" w:fill="FFFFFF"/>
                        <w:vAlign w:val="center"/>
                        <w:hideMark/>
                      </w:tcPr>
                      <w:p w:rsidR="006B49D7" w:rsidRDefault="006B49D7">
                        <w:pPr>
                          <w:rPr>
                            <w:rFonts w:eastAsia="Times New Roman"/>
                          </w:rPr>
                        </w:pPr>
                        <w:r>
                          <w:rPr>
                            <w:rFonts w:eastAsia="Times New Roman"/>
                          </w:rPr>
                          <w:t> </w:t>
                        </w:r>
                      </w:p>
                    </w:tc>
                  </w:tr>
                </w:tbl>
                <w:p w:rsidR="006B49D7" w:rsidRDefault="006B49D7">
                  <w:pPr>
                    <w:jc w:val="center"/>
                    <w:rPr>
                      <w:rFonts w:ascii="Times New Roman" w:eastAsia="Times New Roman" w:hAnsi="Times New Roman" w:cs="Times New Roman"/>
                      <w:sz w:val="20"/>
                      <w:szCs w:val="20"/>
                    </w:rPr>
                  </w:pPr>
                </w:p>
              </w:tc>
            </w:tr>
          </w:tbl>
          <w:p w:rsidR="006B49D7" w:rsidRDefault="006B49D7">
            <w:pPr>
              <w:rPr>
                <w:rFonts w:ascii="Times New Roman" w:eastAsia="Times New Roman" w:hAnsi="Times New Roman" w:cs="Times New Roman"/>
                <w:sz w:val="20"/>
                <w:szCs w:val="20"/>
              </w:rPr>
            </w:pPr>
          </w:p>
        </w:tc>
      </w:tr>
      <w:tr w:rsidR="006B49D7" w:rsidTr="006B49D7">
        <w:tblPrEx>
          <w:jc w:val="center"/>
          <w:shd w:val="clear" w:color="auto" w:fill="0C4D33"/>
        </w:tblPrEx>
        <w:trPr>
          <w:jc w:val="center"/>
        </w:trPr>
        <w:tc>
          <w:tcPr>
            <w:tcW w:w="675" w:type="dxa"/>
            <w:shd w:val="clear" w:color="auto" w:fill="0C4D33"/>
            <w:vAlign w:val="center"/>
            <w:hideMark/>
          </w:tcPr>
          <w:p w:rsidR="006B49D7" w:rsidRDefault="006B49D7">
            <w:pPr>
              <w:rPr>
                <w:rFonts w:eastAsia="Times New Roman"/>
              </w:rPr>
            </w:pPr>
            <w:r>
              <w:rPr>
                <w:rFonts w:eastAsia="Times New Roman"/>
              </w:rPr>
              <w:lastRenderedPageBreak/>
              <w:t> </w:t>
            </w:r>
          </w:p>
        </w:tc>
        <w:tc>
          <w:tcPr>
            <w:tcW w:w="0" w:type="auto"/>
            <w:shd w:val="clear" w:color="auto" w:fill="0C4D33"/>
            <w:vAlign w:val="center"/>
            <w:hideMark/>
          </w:tcPr>
          <w:p w:rsidR="006B49D7" w:rsidRDefault="006B49D7">
            <w:pPr>
              <w:spacing w:line="360" w:lineRule="atLeast"/>
              <w:rPr>
                <w:rFonts w:ascii="Helvetica" w:eastAsia="Times New Roman" w:hAnsi="Helvetica" w:cs="Helvetica"/>
                <w:b/>
                <w:bCs/>
                <w:color w:val="FFFFFF"/>
                <w:sz w:val="36"/>
                <w:szCs w:val="36"/>
              </w:rPr>
            </w:pPr>
            <w:r>
              <w:rPr>
                <w:rFonts w:ascii="Helvetica" w:eastAsia="Times New Roman" w:hAnsi="Helvetica" w:cs="Helvetica"/>
                <w:b/>
                <w:bCs/>
                <w:color w:val="FFFFFF"/>
                <w:sz w:val="36"/>
                <w:szCs w:val="36"/>
              </w:rPr>
              <w:t>Hvad er op og ned?</w:t>
            </w:r>
          </w:p>
        </w:tc>
      </w:tr>
      <w:tr w:rsidR="006B49D7" w:rsidTr="006B49D7">
        <w:tblPrEx>
          <w:jc w:val="center"/>
          <w:shd w:val="clear" w:color="auto" w:fill="0C4D33"/>
        </w:tblPrEx>
        <w:trPr>
          <w:trHeight w:val="225"/>
          <w:jc w:val="center"/>
        </w:trPr>
        <w:tc>
          <w:tcPr>
            <w:tcW w:w="675" w:type="dxa"/>
            <w:shd w:val="clear" w:color="auto" w:fill="0C4D33"/>
            <w:vAlign w:val="center"/>
            <w:hideMark/>
          </w:tcPr>
          <w:p w:rsidR="006B49D7" w:rsidRDefault="006B49D7">
            <w:pPr>
              <w:spacing w:line="15" w:lineRule="atLeast"/>
              <w:rPr>
                <w:rFonts w:ascii="Calibri" w:eastAsia="Times New Roman" w:hAnsi="Calibri" w:cs="Calibri"/>
                <w:sz w:val="2"/>
                <w:szCs w:val="2"/>
              </w:rPr>
            </w:pPr>
            <w:r>
              <w:rPr>
                <w:rFonts w:eastAsia="Times New Roman"/>
                <w:sz w:val="2"/>
                <w:szCs w:val="2"/>
              </w:rPr>
              <w:t> </w:t>
            </w:r>
          </w:p>
        </w:tc>
        <w:tc>
          <w:tcPr>
            <w:tcW w:w="0" w:type="auto"/>
            <w:shd w:val="clear" w:color="auto" w:fill="0C4D33"/>
            <w:vAlign w:val="center"/>
            <w:hideMark/>
          </w:tcPr>
          <w:p w:rsidR="006B49D7" w:rsidRDefault="006B49D7">
            <w:pPr>
              <w:spacing w:line="15" w:lineRule="atLeast"/>
              <w:rPr>
                <w:rFonts w:eastAsia="Times New Roman"/>
                <w:sz w:val="2"/>
                <w:szCs w:val="2"/>
              </w:rPr>
            </w:pPr>
            <w:r>
              <w:rPr>
                <w:rFonts w:eastAsia="Times New Roman"/>
                <w:sz w:val="2"/>
                <w:szCs w:val="2"/>
              </w:rPr>
              <w:t> </w:t>
            </w:r>
          </w:p>
        </w:tc>
      </w:tr>
      <w:tr w:rsidR="006B49D7" w:rsidTr="006B49D7">
        <w:tblPrEx>
          <w:jc w:val="center"/>
          <w:shd w:val="clear" w:color="auto" w:fill="0C4D33"/>
        </w:tblPrEx>
        <w:trPr>
          <w:jc w:val="center"/>
        </w:trPr>
        <w:tc>
          <w:tcPr>
            <w:tcW w:w="675" w:type="dxa"/>
            <w:shd w:val="clear" w:color="auto" w:fill="0C4D33"/>
            <w:vAlign w:val="center"/>
            <w:hideMark/>
          </w:tcPr>
          <w:p w:rsidR="006B49D7" w:rsidRDefault="006B49D7">
            <w:pPr>
              <w:rPr>
                <w:rFonts w:eastAsia="Times New Roman"/>
              </w:rPr>
            </w:pPr>
            <w:r>
              <w:rPr>
                <w:rFonts w:eastAsia="Times New Roman"/>
              </w:rPr>
              <w:t> </w:t>
            </w:r>
          </w:p>
        </w:tc>
        <w:tc>
          <w:tcPr>
            <w:tcW w:w="0" w:type="auto"/>
            <w:shd w:val="clear" w:color="auto" w:fill="0C4D33"/>
            <w:vAlign w:val="center"/>
            <w:hideMark/>
          </w:tcPr>
          <w:p w:rsidR="006B49D7" w:rsidRDefault="006B49D7">
            <w:pPr>
              <w:spacing w:line="270" w:lineRule="atLeast"/>
              <w:rPr>
                <w:rFonts w:ascii="Helvetica" w:eastAsia="Times New Roman" w:hAnsi="Helvetica" w:cs="Helvetica"/>
                <w:color w:val="FFFFFF"/>
                <w:sz w:val="21"/>
                <w:szCs w:val="21"/>
              </w:rPr>
            </w:pPr>
            <w:r>
              <w:rPr>
                <w:rFonts w:ascii="Helvetica" w:eastAsia="Times New Roman" w:hAnsi="Helvetica" w:cs="Helvetica"/>
                <w:color w:val="FFFFFF"/>
                <w:sz w:val="21"/>
                <w:szCs w:val="21"/>
              </w:rPr>
              <w:t>Måske har de sidste dages mediedækning gjort det svært for dig at finde ud af, hvilke tv-kanaler du fremover kan se hos os. Derfor skylder vi dig også en forklaring på, hvad der er op og ned. Det er nemlig blevet fremstillet som om, vi ikke vil samarbejde med Discovery Networks, der bl.a. tilbyder Kanal 5 og Discovery Channel. Det er ikke korrekt.</w:t>
            </w:r>
            <w:r>
              <w:rPr>
                <w:rFonts w:ascii="Helvetica" w:eastAsia="Times New Roman" w:hAnsi="Helvetica" w:cs="Helvetica"/>
                <w:color w:val="FFFFFF"/>
                <w:sz w:val="21"/>
                <w:szCs w:val="21"/>
              </w:rPr>
              <w:br/>
              <w:t> </w:t>
            </w:r>
            <w:r>
              <w:rPr>
                <w:rFonts w:ascii="Helvetica" w:eastAsia="Times New Roman" w:hAnsi="Helvetica" w:cs="Helvetica"/>
                <w:color w:val="FFFFFF"/>
                <w:sz w:val="21"/>
                <w:szCs w:val="21"/>
              </w:rPr>
              <w:br/>
            </w:r>
            <w:r>
              <w:rPr>
                <w:rStyle w:val="Strk"/>
                <w:rFonts w:ascii="Helvetica" w:eastAsia="Times New Roman" w:hAnsi="Helvetica" w:cs="Helvetica"/>
                <w:color w:val="FFFFFF"/>
                <w:sz w:val="30"/>
                <w:szCs w:val="30"/>
              </w:rPr>
              <w:t>Der sker ikke nogen ændringer i din tv-pakke lige nu</w:t>
            </w:r>
            <w:r>
              <w:rPr>
                <w:rFonts w:ascii="Helvetica" w:eastAsia="Times New Roman" w:hAnsi="Helvetica" w:cs="Helvetica"/>
                <w:color w:val="FFFFFF"/>
                <w:sz w:val="21"/>
                <w:szCs w:val="21"/>
              </w:rPr>
              <w:br/>
            </w:r>
            <w:r>
              <w:rPr>
                <w:rFonts w:ascii="Helvetica" w:eastAsia="Times New Roman" w:hAnsi="Helvetica" w:cs="Helvetica"/>
                <w:color w:val="FFFFFF"/>
                <w:sz w:val="21"/>
                <w:szCs w:val="21"/>
              </w:rPr>
              <w:br/>
            </w:r>
            <w:r>
              <w:rPr>
                <w:rFonts w:ascii="Helvetica" w:eastAsia="Times New Roman" w:hAnsi="Helvetica" w:cs="Helvetica"/>
                <w:color w:val="FFFFFF"/>
                <w:sz w:val="21"/>
                <w:szCs w:val="21"/>
              </w:rPr>
              <w:lastRenderedPageBreak/>
              <w:t xml:space="preserve">Frem til 1. januar 2020 vil din tv-pakke se ud, som den plejer. Herefter flytter kanalerne fra Discovery Networks ud af de faste pakker og bliver erstattet af andre kanaler og spændende nye tiltag som fx nye premierefilm fra Nordisk Film. Det kan du læse mere om på </w:t>
            </w:r>
            <w:bookmarkStart w:id="4" w:name="mityousee_dk__3"/>
            <w:r>
              <w:rPr>
                <w:rFonts w:ascii="Helvetica" w:eastAsia="Times New Roman" w:hAnsi="Helvetica" w:cs="Helvetica"/>
                <w:color w:val="FFFFFF"/>
                <w:sz w:val="21"/>
                <w:szCs w:val="21"/>
              </w:rPr>
              <w:fldChar w:fldCharType="begin"/>
            </w:r>
            <w:r>
              <w:rPr>
                <w:rFonts w:ascii="Helvetica" w:eastAsia="Times New Roman" w:hAnsi="Helvetica" w:cs="Helvetica"/>
                <w:color w:val="FFFFFF"/>
                <w:sz w:val="21"/>
                <w:szCs w:val="21"/>
              </w:rPr>
              <w:instrText xml:space="preserve"> HYPERLINK "http://links.nyheder.yousee.dk/ctt?kn=8&amp;ms=NzMwNjI3NwS2&amp;r=MjY5MTE1ODE0MzIwS0&amp;b=0&amp;j=MTM1MzE2MjQ5MwS2&amp;mt=1&amp;rt=0" </w:instrText>
            </w:r>
            <w:r>
              <w:rPr>
                <w:rFonts w:ascii="Helvetica" w:eastAsia="Times New Roman" w:hAnsi="Helvetica" w:cs="Helvetica"/>
                <w:color w:val="FFFFFF"/>
                <w:sz w:val="21"/>
                <w:szCs w:val="21"/>
              </w:rPr>
              <w:fldChar w:fldCharType="separate"/>
            </w:r>
            <w:r>
              <w:rPr>
                <w:rStyle w:val="Hyperlink"/>
                <w:rFonts w:ascii="Helvetica" w:eastAsia="Times New Roman" w:hAnsi="Helvetica" w:cs="Helvetica"/>
                <w:sz w:val="21"/>
                <w:szCs w:val="21"/>
                <w:u w:val="none"/>
              </w:rPr>
              <w:t>yousee.dk/tv2020</w:t>
            </w:r>
            <w:bookmarkEnd w:id="4"/>
            <w:r>
              <w:rPr>
                <w:rFonts w:ascii="Helvetica" w:eastAsia="Times New Roman" w:hAnsi="Helvetica" w:cs="Helvetica"/>
                <w:color w:val="FFFFFF"/>
                <w:sz w:val="21"/>
                <w:szCs w:val="21"/>
              </w:rPr>
              <w:fldChar w:fldCharType="end"/>
            </w:r>
            <w:r>
              <w:rPr>
                <w:rFonts w:ascii="Helvetica" w:eastAsia="Times New Roman" w:hAnsi="Helvetica" w:cs="Helvetica"/>
                <w:color w:val="FFFFFF"/>
                <w:sz w:val="21"/>
                <w:szCs w:val="21"/>
              </w:rPr>
              <w:t> </w:t>
            </w:r>
            <w:r>
              <w:rPr>
                <w:rFonts w:ascii="Helvetica" w:eastAsia="Times New Roman" w:hAnsi="Helvetica" w:cs="Helvetica"/>
                <w:color w:val="FFFFFF"/>
                <w:sz w:val="21"/>
                <w:szCs w:val="21"/>
              </w:rPr>
              <w:br/>
              <w:t> </w:t>
            </w:r>
            <w:r>
              <w:rPr>
                <w:rFonts w:ascii="Helvetica" w:eastAsia="Times New Roman" w:hAnsi="Helvetica" w:cs="Helvetica"/>
                <w:color w:val="FFFFFF"/>
                <w:sz w:val="21"/>
                <w:szCs w:val="21"/>
              </w:rPr>
              <w:br/>
            </w:r>
            <w:r>
              <w:rPr>
                <w:rStyle w:val="Strk"/>
                <w:rFonts w:ascii="Helvetica" w:eastAsia="Times New Roman" w:hAnsi="Helvetica" w:cs="Helvetica"/>
                <w:color w:val="FFFFFF"/>
                <w:sz w:val="30"/>
                <w:szCs w:val="30"/>
              </w:rPr>
              <w:t>De største sportsoplevelser er sikret</w:t>
            </w:r>
            <w:r>
              <w:rPr>
                <w:rFonts w:ascii="Helvetica" w:eastAsia="Times New Roman" w:hAnsi="Helvetica" w:cs="Helvetica"/>
                <w:color w:val="FFFFFF"/>
                <w:sz w:val="21"/>
                <w:szCs w:val="21"/>
              </w:rPr>
              <w:br/>
            </w:r>
            <w:r>
              <w:rPr>
                <w:rFonts w:ascii="Helvetica" w:eastAsia="Times New Roman" w:hAnsi="Helvetica" w:cs="Helvetica"/>
                <w:color w:val="FFFFFF"/>
                <w:sz w:val="21"/>
                <w:szCs w:val="21"/>
              </w:rPr>
              <w:br/>
              <w:t>Vi vil gerne slå fast, at de største sportsoplevelser er sikret hos YouSee. Du har mulighed for at følge herrelandsholdet i deres kvalifikation til EM i fodbold i efteråret. Du kan se masser af OL. Du kan se hele Premier League og Champions League. Du kan følge de fleste Superligakampe - også næste år. Vi elsker nemlig også sport, og arbejder på at give alle sportsinteresserede adgang til så meget sport som muligt.</w:t>
            </w:r>
            <w:r>
              <w:rPr>
                <w:rFonts w:ascii="Helvetica" w:eastAsia="Times New Roman" w:hAnsi="Helvetica" w:cs="Helvetica"/>
                <w:color w:val="FFFFFF"/>
                <w:sz w:val="21"/>
                <w:szCs w:val="21"/>
              </w:rPr>
              <w:br/>
              <w:t> </w:t>
            </w:r>
            <w:r>
              <w:rPr>
                <w:rFonts w:ascii="Helvetica" w:eastAsia="Times New Roman" w:hAnsi="Helvetica" w:cs="Helvetica"/>
                <w:color w:val="FFFFFF"/>
                <w:sz w:val="21"/>
                <w:szCs w:val="21"/>
              </w:rPr>
              <w:br/>
            </w:r>
            <w:r>
              <w:rPr>
                <w:rStyle w:val="Strk"/>
                <w:rFonts w:ascii="Helvetica" w:eastAsia="Times New Roman" w:hAnsi="Helvetica" w:cs="Helvetica"/>
                <w:color w:val="FFFFFF"/>
                <w:sz w:val="30"/>
                <w:szCs w:val="30"/>
              </w:rPr>
              <w:t>Vi vil fortsat gerne samarbejde med Discovery Networks</w:t>
            </w:r>
            <w:r>
              <w:rPr>
                <w:rFonts w:ascii="Helvetica" w:eastAsia="Times New Roman" w:hAnsi="Helvetica" w:cs="Helvetica"/>
                <w:color w:val="FFFFFF"/>
                <w:sz w:val="21"/>
                <w:szCs w:val="21"/>
              </w:rPr>
              <w:br/>
            </w:r>
            <w:r>
              <w:rPr>
                <w:rFonts w:ascii="Helvetica" w:eastAsia="Times New Roman" w:hAnsi="Helvetica" w:cs="Helvetica"/>
                <w:color w:val="FFFFFF"/>
                <w:sz w:val="21"/>
                <w:szCs w:val="21"/>
              </w:rPr>
              <w:br/>
              <w:t>Vi synes, det skal være op til dig at bestemme, hvordan din tv-pakke skal se ud. For nogen elsker sport. Andre elsker naturprogrammer. Derfor vil vi meget gerne lave en aftale med Discovery Networks, hvor deres kanaler fortsat er tilgængelige for dig i vores Bland Selv-univers – så du selv kan vælge dem til og fra. For så er det hverken dem eller os, der bestemmer, hvordan din tv-pakke skal se ud. Det gør du.</w:t>
            </w:r>
            <w:r>
              <w:rPr>
                <w:rFonts w:ascii="Helvetica" w:eastAsia="Times New Roman" w:hAnsi="Helvetica" w:cs="Helvetica"/>
                <w:color w:val="FFFFFF"/>
                <w:sz w:val="21"/>
                <w:szCs w:val="21"/>
              </w:rPr>
              <w:br/>
              <w:t> </w:t>
            </w:r>
            <w:r>
              <w:rPr>
                <w:rFonts w:ascii="Helvetica" w:eastAsia="Times New Roman" w:hAnsi="Helvetica" w:cs="Helvetica"/>
                <w:color w:val="FFFFFF"/>
                <w:sz w:val="21"/>
                <w:szCs w:val="21"/>
              </w:rPr>
              <w:br/>
              <w:t>Du kan læse mere om ændringerne og de nye tiltag på yousee.dk/tv2020.</w:t>
            </w:r>
            <w:r>
              <w:rPr>
                <w:rFonts w:ascii="Helvetica" w:eastAsia="Times New Roman" w:hAnsi="Helvetica" w:cs="Helvetica"/>
                <w:color w:val="FFFFFF"/>
                <w:sz w:val="21"/>
                <w:szCs w:val="21"/>
              </w:rPr>
              <w:br/>
            </w:r>
            <w:r>
              <w:rPr>
                <w:rFonts w:ascii="Helvetica" w:eastAsia="Times New Roman" w:hAnsi="Helvetica" w:cs="Helvetica"/>
                <w:color w:val="FFFFFF"/>
                <w:sz w:val="21"/>
                <w:szCs w:val="21"/>
              </w:rPr>
              <w:br/>
              <w:t>Venlig hilsen</w:t>
            </w:r>
            <w:r>
              <w:rPr>
                <w:rFonts w:ascii="Helvetica" w:eastAsia="Times New Roman" w:hAnsi="Helvetica" w:cs="Helvetica"/>
                <w:color w:val="FFFFFF"/>
                <w:sz w:val="21"/>
                <w:szCs w:val="21"/>
              </w:rPr>
              <w:br/>
            </w:r>
            <w:r>
              <w:rPr>
                <w:rFonts w:ascii="Helvetica" w:eastAsia="Times New Roman" w:hAnsi="Helvetica" w:cs="Helvetica"/>
                <w:b/>
                <w:bCs/>
                <w:color w:val="FFFFFF"/>
                <w:sz w:val="21"/>
                <w:szCs w:val="21"/>
              </w:rPr>
              <w:t>YouSee</w:t>
            </w:r>
            <w:r>
              <w:rPr>
                <w:rFonts w:ascii="Helvetica" w:eastAsia="Times New Roman" w:hAnsi="Helvetica" w:cs="Helvetica"/>
                <w:color w:val="FFFFFF"/>
                <w:sz w:val="21"/>
                <w:szCs w:val="21"/>
              </w:rPr>
              <w:t xml:space="preserve"> </w:t>
            </w:r>
          </w:p>
        </w:tc>
      </w:tr>
      <w:tr w:rsidR="006B49D7" w:rsidTr="006B49D7">
        <w:tblPrEx>
          <w:jc w:val="center"/>
          <w:shd w:val="clear" w:color="auto" w:fill="0C4D33"/>
        </w:tblPrEx>
        <w:trPr>
          <w:jc w:val="center"/>
        </w:trPr>
        <w:tc>
          <w:tcPr>
            <w:tcW w:w="675" w:type="dxa"/>
            <w:shd w:val="clear" w:color="auto" w:fill="0C4D33"/>
            <w:vAlign w:val="center"/>
          </w:tcPr>
          <w:p w:rsidR="006B49D7" w:rsidRDefault="006B49D7">
            <w:pPr>
              <w:rPr>
                <w:rFonts w:eastAsia="Times New Roman"/>
              </w:rPr>
            </w:pPr>
          </w:p>
        </w:tc>
        <w:tc>
          <w:tcPr>
            <w:tcW w:w="0" w:type="auto"/>
            <w:shd w:val="clear" w:color="auto" w:fill="0C4D33"/>
            <w:vAlign w:val="center"/>
          </w:tcPr>
          <w:p w:rsidR="006B49D7" w:rsidRDefault="006B49D7">
            <w:pPr>
              <w:spacing w:line="270" w:lineRule="atLeast"/>
              <w:rPr>
                <w:rFonts w:ascii="Helvetica" w:eastAsia="Times New Roman" w:hAnsi="Helvetica" w:cs="Helvetica"/>
                <w:color w:val="FFFFFF"/>
                <w:sz w:val="21"/>
                <w:szCs w:val="21"/>
              </w:rPr>
            </w:pPr>
          </w:p>
        </w:tc>
      </w:tr>
    </w:tbl>
    <w:p w:rsidR="006B49D7" w:rsidRDefault="006B49D7" w:rsidP="006B49D7">
      <w:pPr>
        <w:jc w:val="center"/>
      </w:pPr>
      <w:r>
        <w:rPr>
          <w:rFonts w:eastAsia="Times New Roman"/>
          <w:noProof/>
          <w:color w:val="0000FF"/>
        </w:rPr>
        <w:drawing>
          <wp:inline distT="0" distB="0" distL="0" distR="0">
            <wp:extent cx="2133600" cy="438150"/>
            <wp:effectExtent l="0" t="0" r="0" b="0"/>
            <wp:docPr id="11" name="Billede 11" descr="YouSe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38150"/>
                    </a:xfrm>
                    <a:prstGeom prst="rect">
                      <a:avLst/>
                    </a:prstGeom>
                    <a:noFill/>
                    <a:ln>
                      <a:noFill/>
                    </a:ln>
                  </pic:spPr>
                </pic:pic>
              </a:graphicData>
            </a:graphic>
          </wp:inline>
        </w:drawing>
      </w:r>
    </w:p>
    <w:sectPr w:rsidR="006B49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D7"/>
    <w:rsid w:val="003261C4"/>
    <w:rsid w:val="006B49D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BE8D"/>
  <w15:chartTrackingRefBased/>
  <w15:docId w15:val="{22204F22-8E6A-4469-9782-521A4A4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B49D7"/>
    <w:rPr>
      <w:color w:val="0000FF"/>
      <w:u w:val="single"/>
    </w:rPr>
  </w:style>
  <w:style w:type="character" w:styleId="Strk">
    <w:name w:val="Strong"/>
    <w:basedOn w:val="Standardskrifttypeiafsnit"/>
    <w:uiPriority w:val="22"/>
    <w:qFormat/>
    <w:rsid w:val="006B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7627">
      <w:bodyDiv w:val="1"/>
      <w:marLeft w:val="0"/>
      <w:marRight w:val="0"/>
      <w:marTop w:val="0"/>
      <w:marBottom w:val="0"/>
      <w:divBdr>
        <w:top w:val="none" w:sz="0" w:space="0" w:color="auto"/>
        <w:left w:val="none" w:sz="0" w:space="0" w:color="auto"/>
        <w:bottom w:val="none" w:sz="0" w:space="0" w:color="auto"/>
        <w:right w:val="none" w:sz="0" w:space="0" w:color="auto"/>
      </w:divBdr>
    </w:div>
    <w:div w:id="301352307">
      <w:bodyDiv w:val="1"/>
      <w:marLeft w:val="0"/>
      <w:marRight w:val="0"/>
      <w:marTop w:val="0"/>
      <w:marBottom w:val="0"/>
      <w:divBdr>
        <w:top w:val="none" w:sz="0" w:space="0" w:color="auto"/>
        <w:left w:val="none" w:sz="0" w:space="0" w:color="auto"/>
        <w:bottom w:val="none" w:sz="0" w:space="0" w:color="auto"/>
        <w:right w:val="none" w:sz="0" w:space="0" w:color="auto"/>
      </w:divBdr>
    </w:div>
    <w:div w:id="686710808">
      <w:bodyDiv w:val="1"/>
      <w:marLeft w:val="0"/>
      <w:marRight w:val="0"/>
      <w:marTop w:val="0"/>
      <w:marBottom w:val="0"/>
      <w:divBdr>
        <w:top w:val="none" w:sz="0" w:space="0" w:color="auto"/>
        <w:left w:val="none" w:sz="0" w:space="0" w:color="auto"/>
        <w:bottom w:val="none" w:sz="0" w:space="0" w:color="auto"/>
        <w:right w:val="none" w:sz="0" w:space="0" w:color="auto"/>
      </w:divBdr>
    </w:div>
    <w:div w:id="1070735935">
      <w:bodyDiv w:val="1"/>
      <w:marLeft w:val="0"/>
      <w:marRight w:val="0"/>
      <w:marTop w:val="0"/>
      <w:marBottom w:val="0"/>
      <w:divBdr>
        <w:top w:val="none" w:sz="0" w:space="0" w:color="auto"/>
        <w:left w:val="none" w:sz="0" w:space="0" w:color="auto"/>
        <w:bottom w:val="none" w:sz="0" w:space="0" w:color="auto"/>
        <w:right w:val="none" w:sz="0" w:space="0" w:color="auto"/>
      </w:divBdr>
    </w:div>
    <w:div w:id="12387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nyheder.yousee.dk/ctt?kn=3&amp;ms=NzMwNjI3NwS2&amp;r=MjY5MTE1ODE0MzIwS0&amp;b=0&amp;j=MTM1MzE2MjQ5MwS2&amp;mt=1&amp;rt=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4492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Colberg</dc:creator>
  <cp:keywords/>
  <dc:description/>
  <cp:lastModifiedBy>Stine Colberg</cp:lastModifiedBy>
  <cp:revision>1</cp:revision>
  <dcterms:created xsi:type="dcterms:W3CDTF">2019-11-06T11:59:00Z</dcterms:created>
  <dcterms:modified xsi:type="dcterms:W3CDTF">2019-11-06T12:05:00Z</dcterms:modified>
</cp:coreProperties>
</file>